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63CC" w14:textId="542EED7D" w:rsidR="00CF6DE4" w:rsidRPr="007E46E7" w:rsidRDefault="00CF6DE4" w:rsidP="00CF6DE4">
      <w:pPr>
        <w:jc w:val="center"/>
        <w:rPr>
          <w:rFonts w:ascii="Tahoma" w:hAnsi="Tahoma" w:cs="Tahoma"/>
          <w:color w:val="00B0F0"/>
          <w:sz w:val="36"/>
          <w:szCs w:val="20"/>
        </w:rPr>
      </w:pPr>
      <w:r w:rsidRPr="007E46E7">
        <w:rPr>
          <w:rFonts w:ascii="Tahoma" w:hAnsi="Tahoma" w:cs="Tahoma"/>
          <w:noProof/>
          <w:sz w:val="16"/>
          <w:szCs w:val="20"/>
          <w:lang w:eastAsia="en-GB"/>
        </w:rPr>
        <w:drawing>
          <wp:anchor distT="0" distB="0" distL="114300" distR="114300" simplePos="0" relativeHeight="251659264" behindDoc="0" locked="0" layoutInCell="1" allowOverlap="1" wp14:anchorId="0CFB40E8" wp14:editId="7785B868">
            <wp:simplePos x="0" y="0"/>
            <wp:positionH relativeFrom="column">
              <wp:posOffset>-693420</wp:posOffset>
            </wp:positionH>
            <wp:positionV relativeFrom="paragraph">
              <wp:posOffset>-739140</wp:posOffset>
            </wp:positionV>
            <wp:extent cx="1402080" cy="1352969"/>
            <wp:effectExtent l="0" t="0" r="7620" b="0"/>
            <wp:wrapNone/>
            <wp:docPr id="2" name="Picture 2" descr="K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f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087" cy="135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75D" w:rsidRPr="007E46E7">
        <w:rPr>
          <w:rFonts w:ascii="Tahoma" w:hAnsi="Tahoma" w:cs="Tahoma"/>
          <w:color w:val="00B0F0"/>
          <w:sz w:val="36"/>
          <w:szCs w:val="20"/>
        </w:rPr>
        <w:t xml:space="preserve">Kelford School – Quality Assurance Cycle. </w:t>
      </w:r>
      <w:r w:rsidR="0087454C" w:rsidRPr="007E46E7">
        <w:rPr>
          <w:rFonts w:ascii="Tahoma" w:hAnsi="Tahoma" w:cs="Tahoma"/>
          <w:color w:val="00B0F0"/>
          <w:sz w:val="36"/>
          <w:szCs w:val="20"/>
        </w:rPr>
        <w:t xml:space="preserve"> </w:t>
      </w:r>
    </w:p>
    <w:p w14:paraId="0A17AAF0" w14:textId="01324DD8" w:rsidR="00CF6DE4" w:rsidRPr="004E2CD1" w:rsidRDefault="00CF6DE4" w:rsidP="00CF6DE4">
      <w:pPr>
        <w:spacing w:after="0"/>
        <w:rPr>
          <w:b/>
          <w:sz w:val="20"/>
        </w:rPr>
      </w:pPr>
    </w:p>
    <w:p w14:paraId="2293C0E8" w14:textId="2759B897" w:rsidR="0087454C" w:rsidRDefault="0087454C" w:rsidP="00CF6DE4">
      <w:pPr>
        <w:spacing w:after="0"/>
        <w:rPr>
          <w:sz w:val="24"/>
          <w:szCs w:val="28"/>
        </w:rPr>
      </w:pPr>
    </w:p>
    <w:p w14:paraId="380B4D13" w14:textId="458B641D" w:rsidR="008A075D" w:rsidRPr="00122F64" w:rsidRDefault="008A075D" w:rsidP="002D46BA">
      <w:pPr>
        <w:spacing w:after="0"/>
        <w:jc w:val="center"/>
        <w:rPr>
          <w:rFonts w:ascii="Tahoma" w:hAnsi="Tahoma" w:cs="Tahoma"/>
          <w:szCs w:val="24"/>
        </w:rPr>
      </w:pPr>
      <w:r w:rsidRPr="00122F64">
        <w:rPr>
          <w:rFonts w:ascii="Tahoma" w:hAnsi="Tahoma" w:cs="Tahoma"/>
          <w:szCs w:val="24"/>
        </w:rPr>
        <w:t xml:space="preserve">Quality assurance plays a vital </w:t>
      </w:r>
      <w:r w:rsidR="007E46E7" w:rsidRPr="00122F64">
        <w:rPr>
          <w:rFonts w:ascii="Tahoma" w:hAnsi="Tahoma" w:cs="Tahoma"/>
          <w:szCs w:val="24"/>
        </w:rPr>
        <w:t>within school improvement. Our quality assurance</w:t>
      </w:r>
      <w:r w:rsidRPr="00122F64">
        <w:rPr>
          <w:rFonts w:ascii="Tahoma" w:hAnsi="Tahoma" w:cs="Tahoma"/>
          <w:szCs w:val="24"/>
        </w:rPr>
        <w:t xml:space="preserve"> cycle enables us to systematically monitor and improve teaching, learning and leadership, ensuring we hold ourselves to the highest standards and that we strive for continuous improvement, leading to the best outcomes possible for our young people.</w:t>
      </w:r>
    </w:p>
    <w:p w14:paraId="0F8C743F" w14:textId="1A5441D9" w:rsidR="007E46E7" w:rsidRDefault="007E46E7" w:rsidP="00CF6DE4">
      <w:pPr>
        <w:spacing w:after="0"/>
        <w:rPr>
          <w:rFonts w:ascii="Tahoma" w:hAnsi="Tahoma" w:cs="Tahoma"/>
          <w:sz w:val="24"/>
          <w:szCs w:val="28"/>
        </w:rPr>
      </w:pPr>
    </w:p>
    <w:tbl>
      <w:tblPr>
        <w:tblStyle w:val="TableGrid"/>
        <w:tblW w:w="9923" w:type="dxa"/>
        <w:tblInd w:w="-289" w:type="dxa"/>
        <w:tblLook w:val="04A0" w:firstRow="1" w:lastRow="0" w:firstColumn="1" w:lastColumn="0" w:noHBand="0" w:noVBand="1"/>
      </w:tblPr>
      <w:tblGrid>
        <w:gridCol w:w="1277"/>
        <w:gridCol w:w="1984"/>
        <w:gridCol w:w="6662"/>
      </w:tblGrid>
      <w:tr w:rsidR="007E46E7" w14:paraId="56E4CF9A" w14:textId="77777777" w:rsidTr="0079106B">
        <w:tc>
          <w:tcPr>
            <w:tcW w:w="1277" w:type="dxa"/>
            <w:shd w:val="clear" w:color="auto" w:fill="1F3864" w:themeFill="accent1" w:themeFillShade="80"/>
          </w:tcPr>
          <w:p w14:paraId="666C200B" w14:textId="57262CCB" w:rsidR="007E46E7" w:rsidRPr="0079106B" w:rsidRDefault="007E46E7" w:rsidP="0079106B">
            <w:pPr>
              <w:jc w:val="center"/>
              <w:rPr>
                <w:rFonts w:ascii="Tahoma" w:hAnsi="Tahoma" w:cs="Tahoma"/>
                <w:b/>
                <w:bCs/>
                <w:sz w:val="24"/>
                <w:szCs w:val="28"/>
              </w:rPr>
            </w:pPr>
            <w:r w:rsidRPr="0079106B">
              <w:rPr>
                <w:rFonts w:ascii="Tahoma" w:hAnsi="Tahoma" w:cs="Tahoma"/>
                <w:b/>
                <w:bCs/>
                <w:sz w:val="24"/>
                <w:szCs w:val="28"/>
              </w:rPr>
              <w:t>Term</w:t>
            </w:r>
          </w:p>
        </w:tc>
        <w:tc>
          <w:tcPr>
            <w:tcW w:w="1984" w:type="dxa"/>
            <w:shd w:val="clear" w:color="auto" w:fill="1F3864" w:themeFill="accent1" w:themeFillShade="80"/>
          </w:tcPr>
          <w:p w14:paraId="5D16424D" w14:textId="7D900A38" w:rsidR="007E46E7" w:rsidRPr="0079106B" w:rsidRDefault="007E46E7" w:rsidP="0079106B">
            <w:pPr>
              <w:jc w:val="center"/>
              <w:rPr>
                <w:rFonts w:ascii="Tahoma" w:hAnsi="Tahoma" w:cs="Tahoma"/>
                <w:b/>
                <w:bCs/>
                <w:sz w:val="24"/>
                <w:szCs w:val="28"/>
              </w:rPr>
            </w:pPr>
            <w:r w:rsidRPr="0079106B">
              <w:rPr>
                <w:rFonts w:ascii="Tahoma" w:hAnsi="Tahoma" w:cs="Tahoma"/>
                <w:b/>
                <w:bCs/>
                <w:sz w:val="24"/>
                <w:szCs w:val="28"/>
              </w:rPr>
              <w:t>QA activity</w:t>
            </w:r>
          </w:p>
        </w:tc>
        <w:tc>
          <w:tcPr>
            <w:tcW w:w="6662" w:type="dxa"/>
            <w:shd w:val="clear" w:color="auto" w:fill="1F3864" w:themeFill="accent1" w:themeFillShade="80"/>
          </w:tcPr>
          <w:p w14:paraId="39FA6AED" w14:textId="19E4F816" w:rsidR="007E46E7" w:rsidRPr="0079106B" w:rsidRDefault="007E46E7" w:rsidP="0079106B">
            <w:pPr>
              <w:jc w:val="center"/>
              <w:rPr>
                <w:rFonts w:ascii="Tahoma" w:hAnsi="Tahoma" w:cs="Tahoma"/>
                <w:b/>
                <w:bCs/>
                <w:sz w:val="24"/>
                <w:szCs w:val="28"/>
              </w:rPr>
            </w:pPr>
            <w:r w:rsidRPr="0079106B">
              <w:rPr>
                <w:rFonts w:ascii="Tahoma" w:hAnsi="Tahoma" w:cs="Tahoma"/>
                <w:b/>
                <w:bCs/>
                <w:sz w:val="24"/>
                <w:szCs w:val="28"/>
              </w:rPr>
              <w:t>Description/Rationale.</w:t>
            </w:r>
          </w:p>
        </w:tc>
      </w:tr>
      <w:tr w:rsidR="007E46E7" w14:paraId="78514B31" w14:textId="77777777" w:rsidTr="00122F64">
        <w:tc>
          <w:tcPr>
            <w:tcW w:w="1277" w:type="dxa"/>
            <w:shd w:val="clear" w:color="auto" w:fill="8EAADB" w:themeFill="accent1" w:themeFillTint="99"/>
          </w:tcPr>
          <w:p w14:paraId="22FD280E" w14:textId="7A9F0B47" w:rsidR="007E46E7" w:rsidRPr="0079106B" w:rsidRDefault="007E46E7" w:rsidP="00CF6DE4">
            <w:pPr>
              <w:rPr>
                <w:rFonts w:ascii="Tahoma" w:hAnsi="Tahoma" w:cs="Tahoma"/>
                <w:sz w:val="20"/>
              </w:rPr>
            </w:pPr>
            <w:r w:rsidRPr="0079106B">
              <w:rPr>
                <w:rFonts w:ascii="Tahoma" w:hAnsi="Tahoma" w:cs="Tahoma"/>
                <w:sz w:val="20"/>
              </w:rPr>
              <w:t xml:space="preserve">Autumn 1 </w:t>
            </w:r>
          </w:p>
        </w:tc>
        <w:tc>
          <w:tcPr>
            <w:tcW w:w="1984" w:type="dxa"/>
            <w:shd w:val="clear" w:color="auto" w:fill="8EAADB" w:themeFill="accent1" w:themeFillTint="99"/>
          </w:tcPr>
          <w:p w14:paraId="64F66425" w14:textId="51060739" w:rsidR="007E46E7" w:rsidRPr="0079106B" w:rsidRDefault="007E46E7" w:rsidP="00CF6DE4">
            <w:pPr>
              <w:rPr>
                <w:rFonts w:ascii="Tahoma" w:hAnsi="Tahoma" w:cs="Tahoma"/>
                <w:sz w:val="20"/>
              </w:rPr>
            </w:pPr>
            <w:r w:rsidRPr="0079106B">
              <w:rPr>
                <w:rFonts w:ascii="Tahoma" w:hAnsi="Tahoma" w:cs="Tahoma"/>
                <w:sz w:val="20"/>
              </w:rPr>
              <w:t xml:space="preserve">Planning scrutiny </w:t>
            </w:r>
          </w:p>
        </w:tc>
        <w:tc>
          <w:tcPr>
            <w:tcW w:w="6662" w:type="dxa"/>
            <w:shd w:val="clear" w:color="auto" w:fill="8EAADB" w:themeFill="accent1" w:themeFillTint="99"/>
          </w:tcPr>
          <w:p w14:paraId="5B6CCF15" w14:textId="1DCB657B" w:rsidR="007E46E7" w:rsidRPr="0079106B" w:rsidRDefault="007E46E7" w:rsidP="00CF6DE4">
            <w:pPr>
              <w:rPr>
                <w:rFonts w:ascii="Tahoma" w:hAnsi="Tahoma" w:cs="Tahoma"/>
                <w:sz w:val="20"/>
              </w:rPr>
            </w:pPr>
            <w:r w:rsidRPr="0079106B">
              <w:rPr>
                <w:rFonts w:ascii="Tahoma" w:hAnsi="Tahoma" w:cs="Tahoma"/>
                <w:sz w:val="20"/>
              </w:rPr>
              <w:t>Quality assurance of medium</w:t>
            </w:r>
            <w:r w:rsidR="00B41C0A">
              <w:rPr>
                <w:rFonts w:ascii="Tahoma" w:hAnsi="Tahoma" w:cs="Tahoma"/>
                <w:sz w:val="20"/>
              </w:rPr>
              <w:t>-</w:t>
            </w:r>
            <w:r w:rsidRPr="0079106B">
              <w:rPr>
                <w:rFonts w:ascii="Tahoma" w:hAnsi="Tahoma" w:cs="Tahoma"/>
                <w:sz w:val="20"/>
              </w:rPr>
              <w:t>term planning against all non-negotiables.</w:t>
            </w:r>
            <w:r w:rsidR="00122F64" w:rsidRPr="0079106B">
              <w:rPr>
                <w:rFonts w:ascii="Tahoma" w:hAnsi="Tahoma" w:cs="Tahoma"/>
                <w:sz w:val="20"/>
              </w:rPr>
              <w:t xml:space="preserve"> Ensuring lessons follow long term planning and planned lessons are high quality.</w:t>
            </w:r>
            <w:r w:rsidRPr="0079106B">
              <w:rPr>
                <w:rFonts w:ascii="Tahoma" w:hAnsi="Tahoma" w:cs="Tahoma"/>
                <w:sz w:val="20"/>
              </w:rPr>
              <w:t xml:space="preserve"> Feedback provided for teachers. </w:t>
            </w:r>
          </w:p>
        </w:tc>
      </w:tr>
      <w:tr w:rsidR="007E46E7" w14:paraId="5C426A6F" w14:textId="77777777" w:rsidTr="00122F64">
        <w:tc>
          <w:tcPr>
            <w:tcW w:w="1277" w:type="dxa"/>
            <w:shd w:val="clear" w:color="auto" w:fill="8EAADB" w:themeFill="accent1" w:themeFillTint="99"/>
          </w:tcPr>
          <w:p w14:paraId="61BE8C96" w14:textId="77777777" w:rsidR="007E46E7" w:rsidRPr="0079106B" w:rsidRDefault="007E46E7" w:rsidP="007E46E7">
            <w:pPr>
              <w:rPr>
                <w:rFonts w:ascii="Tahoma" w:hAnsi="Tahoma" w:cs="Tahoma"/>
                <w:sz w:val="20"/>
              </w:rPr>
            </w:pPr>
          </w:p>
        </w:tc>
        <w:tc>
          <w:tcPr>
            <w:tcW w:w="1984" w:type="dxa"/>
            <w:shd w:val="clear" w:color="auto" w:fill="8EAADB" w:themeFill="accent1" w:themeFillTint="99"/>
          </w:tcPr>
          <w:p w14:paraId="66244502" w14:textId="0A9C688D" w:rsidR="007E46E7" w:rsidRPr="0079106B" w:rsidRDefault="007E46E7" w:rsidP="007E46E7">
            <w:pPr>
              <w:rPr>
                <w:rFonts w:ascii="Tahoma" w:hAnsi="Tahoma" w:cs="Tahoma"/>
                <w:sz w:val="20"/>
              </w:rPr>
            </w:pPr>
            <w:r w:rsidRPr="0079106B">
              <w:rPr>
                <w:rFonts w:ascii="Tahoma" w:hAnsi="Tahoma" w:cs="Tahoma"/>
                <w:sz w:val="20"/>
              </w:rPr>
              <w:t xml:space="preserve">Collaborative enquiry </w:t>
            </w:r>
            <w:r w:rsidRPr="0079106B">
              <w:rPr>
                <w:rFonts w:ascii="Tahoma" w:hAnsi="Tahoma" w:cs="Tahoma"/>
                <w:sz w:val="20"/>
              </w:rPr>
              <w:t>within a c</w:t>
            </w:r>
            <w:r w:rsidRPr="0079106B">
              <w:rPr>
                <w:rFonts w:ascii="Tahoma" w:hAnsi="Tahoma" w:cs="Tahoma"/>
                <w:sz w:val="20"/>
              </w:rPr>
              <w:t xml:space="preserve">ore faculty </w:t>
            </w:r>
          </w:p>
        </w:tc>
        <w:tc>
          <w:tcPr>
            <w:tcW w:w="6662" w:type="dxa"/>
            <w:shd w:val="clear" w:color="auto" w:fill="8EAADB" w:themeFill="accent1" w:themeFillTint="99"/>
          </w:tcPr>
          <w:p w14:paraId="344CC3CD" w14:textId="7F45F61C" w:rsidR="00122F64" w:rsidRPr="0079106B" w:rsidRDefault="00122F64" w:rsidP="00122F64">
            <w:pPr>
              <w:rPr>
                <w:rFonts w:ascii="Tahoma" w:hAnsi="Tahoma" w:cs="Tahoma"/>
                <w:sz w:val="20"/>
              </w:rPr>
            </w:pPr>
            <w:r w:rsidRPr="0079106B">
              <w:rPr>
                <w:rFonts w:ascii="Tahoma" w:hAnsi="Tahoma" w:cs="Tahoma"/>
                <w:sz w:val="20"/>
              </w:rPr>
              <w:t>Faculty leaders, school leaders and trust partners collaborate to provide a thorough enquiry into the quality of teaching and learning for a chosen faculty through triangulation of:</w:t>
            </w:r>
          </w:p>
          <w:p w14:paraId="2638A3BF" w14:textId="45BE659B" w:rsidR="007E46E7" w:rsidRPr="0079106B" w:rsidRDefault="00122F64" w:rsidP="00122F64">
            <w:pPr>
              <w:pStyle w:val="ListParagraph"/>
              <w:numPr>
                <w:ilvl w:val="0"/>
                <w:numId w:val="6"/>
              </w:numPr>
              <w:rPr>
                <w:rFonts w:ascii="Tahoma" w:hAnsi="Tahoma" w:cs="Tahoma"/>
                <w:sz w:val="20"/>
              </w:rPr>
            </w:pPr>
            <w:r w:rsidRPr="0079106B">
              <w:rPr>
                <w:rFonts w:ascii="Tahoma" w:hAnsi="Tahoma" w:cs="Tahoma"/>
                <w:sz w:val="20"/>
              </w:rPr>
              <w:t xml:space="preserve">Lesson check ins for all teachers in the chosen subject/faculty area </w:t>
            </w:r>
          </w:p>
          <w:p w14:paraId="50CFBF19" w14:textId="77777777" w:rsidR="00122F64" w:rsidRPr="0079106B" w:rsidRDefault="00122F64" w:rsidP="00122F64">
            <w:pPr>
              <w:pStyle w:val="ListParagraph"/>
              <w:numPr>
                <w:ilvl w:val="0"/>
                <w:numId w:val="6"/>
              </w:numPr>
              <w:rPr>
                <w:rFonts w:ascii="Tahoma" w:hAnsi="Tahoma" w:cs="Tahoma"/>
                <w:sz w:val="20"/>
              </w:rPr>
            </w:pPr>
            <w:r w:rsidRPr="0079106B">
              <w:rPr>
                <w:rFonts w:ascii="Tahoma" w:hAnsi="Tahoma" w:cs="Tahoma"/>
                <w:sz w:val="20"/>
              </w:rPr>
              <w:t xml:space="preserve">Analysis of planning for chosen faculty, does it match long term plans and pupil evidence </w:t>
            </w:r>
          </w:p>
          <w:p w14:paraId="098370E1" w14:textId="77777777" w:rsidR="00122F64" w:rsidRPr="0079106B" w:rsidRDefault="00122F64" w:rsidP="00122F64">
            <w:pPr>
              <w:pStyle w:val="ListParagraph"/>
              <w:numPr>
                <w:ilvl w:val="0"/>
                <w:numId w:val="6"/>
              </w:numPr>
              <w:rPr>
                <w:rFonts w:ascii="Tahoma" w:hAnsi="Tahoma" w:cs="Tahoma"/>
                <w:sz w:val="20"/>
              </w:rPr>
            </w:pPr>
            <w:r w:rsidRPr="0079106B">
              <w:rPr>
                <w:rFonts w:ascii="Tahoma" w:hAnsi="Tahoma" w:cs="Tahoma"/>
                <w:sz w:val="20"/>
              </w:rPr>
              <w:t xml:space="preserve">Work scrutiny – an enquiry into the quality of pupil work, marking, assessment and feedback </w:t>
            </w:r>
          </w:p>
          <w:p w14:paraId="18785ADC" w14:textId="2B5F7E77" w:rsidR="00122F64" w:rsidRPr="0079106B" w:rsidRDefault="00122F64" w:rsidP="00122F64">
            <w:pPr>
              <w:rPr>
                <w:rFonts w:ascii="Tahoma" w:hAnsi="Tahoma" w:cs="Tahoma"/>
                <w:sz w:val="20"/>
              </w:rPr>
            </w:pPr>
            <w:r w:rsidRPr="0079106B">
              <w:rPr>
                <w:rFonts w:ascii="Tahoma" w:hAnsi="Tahoma" w:cs="Tahoma"/>
                <w:sz w:val="20"/>
              </w:rPr>
              <w:t>Conclusions and recommendations feed into SIP planning.</w:t>
            </w:r>
          </w:p>
        </w:tc>
      </w:tr>
      <w:tr w:rsidR="007E46E7" w14:paraId="172BDB0D" w14:textId="77777777" w:rsidTr="00122F64">
        <w:tc>
          <w:tcPr>
            <w:tcW w:w="1277" w:type="dxa"/>
            <w:shd w:val="clear" w:color="auto" w:fill="B4C6E7" w:themeFill="accent1" w:themeFillTint="66"/>
          </w:tcPr>
          <w:p w14:paraId="7AFA0D38" w14:textId="5E831408" w:rsidR="007E46E7" w:rsidRPr="0079106B" w:rsidRDefault="007E46E7" w:rsidP="007E46E7">
            <w:pPr>
              <w:rPr>
                <w:rFonts w:ascii="Tahoma" w:hAnsi="Tahoma" w:cs="Tahoma"/>
                <w:sz w:val="20"/>
              </w:rPr>
            </w:pPr>
            <w:r w:rsidRPr="0079106B">
              <w:rPr>
                <w:rFonts w:ascii="Tahoma" w:hAnsi="Tahoma" w:cs="Tahoma"/>
                <w:sz w:val="20"/>
              </w:rPr>
              <w:t xml:space="preserve">Autumn 2 </w:t>
            </w:r>
          </w:p>
        </w:tc>
        <w:tc>
          <w:tcPr>
            <w:tcW w:w="1984" w:type="dxa"/>
            <w:shd w:val="clear" w:color="auto" w:fill="B4C6E7" w:themeFill="accent1" w:themeFillTint="66"/>
          </w:tcPr>
          <w:p w14:paraId="65DA28EF" w14:textId="0783C6D9" w:rsidR="007E46E7" w:rsidRPr="0079106B" w:rsidRDefault="007E46E7" w:rsidP="007E46E7">
            <w:pPr>
              <w:rPr>
                <w:rFonts w:ascii="Tahoma" w:hAnsi="Tahoma" w:cs="Tahoma"/>
                <w:sz w:val="20"/>
              </w:rPr>
            </w:pPr>
            <w:r w:rsidRPr="0079106B">
              <w:rPr>
                <w:rFonts w:ascii="Tahoma" w:hAnsi="Tahoma" w:cs="Tahoma"/>
                <w:sz w:val="20"/>
              </w:rPr>
              <w:t xml:space="preserve">Planning scrutiny </w:t>
            </w:r>
          </w:p>
        </w:tc>
        <w:tc>
          <w:tcPr>
            <w:tcW w:w="6662" w:type="dxa"/>
            <w:shd w:val="clear" w:color="auto" w:fill="B4C6E7" w:themeFill="accent1" w:themeFillTint="66"/>
          </w:tcPr>
          <w:p w14:paraId="7D6141F2" w14:textId="1FD7705F" w:rsidR="007E46E7" w:rsidRPr="0079106B" w:rsidRDefault="007E46E7" w:rsidP="007E46E7">
            <w:pPr>
              <w:rPr>
                <w:rFonts w:ascii="Tahoma" w:hAnsi="Tahoma" w:cs="Tahoma"/>
                <w:sz w:val="20"/>
              </w:rPr>
            </w:pPr>
          </w:p>
        </w:tc>
      </w:tr>
      <w:tr w:rsidR="007E46E7" w14:paraId="232EA5B5" w14:textId="77777777" w:rsidTr="00122F64">
        <w:tc>
          <w:tcPr>
            <w:tcW w:w="1277" w:type="dxa"/>
            <w:shd w:val="clear" w:color="auto" w:fill="B4C6E7" w:themeFill="accent1" w:themeFillTint="66"/>
          </w:tcPr>
          <w:p w14:paraId="087F3833" w14:textId="77777777" w:rsidR="007E46E7" w:rsidRPr="0079106B" w:rsidRDefault="007E46E7" w:rsidP="007E46E7">
            <w:pPr>
              <w:rPr>
                <w:rFonts w:ascii="Tahoma" w:hAnsi="Tahoma" w:cs="Tahoma"/>
                <w:sz w:val="20"/>
              </w:rPr>
            </w:pPr>
          </w:p>
        </w:tc>
        <w:tc>
          <w:tcPr>
            <w:tcW w:w="1984" w:type="dxa"/>
            <w:shd w:val="clear" w:color="auto" w:fill="B4C6E7" w:themeFill="accent1" w:themeFillTint="66"/>
          </w:tcPr>
          <w:p w14:paraId="139BB207" w14:textId="75063330" w:rsidR="007E46E7" w:rsidRPr="0079106B" w:rsidRDefault="007E46E7" w:rsidP="007E46E7">
            <w:pPr>
              <w:rPr>
                <w:rFonts w:ascii="Tahoma" w:hAnsi="Tahoma" w:cs="Tahoma"/>
                <w:sz w:val="20"/>
              </w:rPr>
            </w:pPr>
            <w:r w:rsidRPr="0079106B">
              <w:rPr>
                <w:rFonts w:ascii="Tahoma" w:hAnsi="Tahoma" w:cs="Tahoma"/>
                <w:sz w:val="20"/>
              </w:rPr>
              <w:t xml:space="preserve">Pupil progress meetings </w:t>
            </w:r>
          </w:p>
        </w:tc>
        <w:tc>
          <w:tcPr>
            <w:tcW w:w="6662" w:type="dxa"/>
            <w:shd w:val="clear" w:color="auto" w:fill="B4C6E7" w:themeFill="accent1" w:themeFillTint="66"/>
          </w:tcPr>
          <w:p w14:paraId="5709848B" w14:textId="3841FE0A" w:rsidR="007E46E7" w:rsidRPr="0079106B" w:rsidRDefault="00122F64" w:rsidP="007E46E7">
            <w:pPr>
              <w:rPr>
                <w:rFonts w:ascii="Tahoma" w:hAnsi="Tahoma" w:cs="Tahoma"/>
                <w:sz w:val="20"/>
              </w:rPr>
            </w:pPr>
            <w:r w:rsidRPr="0079106B">
              <w:rPr>
                <w:rFonts w:ascii="Tahoma" w:hAnsi="Tahoma" w:cs="Tahoma"/>
                <w:sz w:val="20"/>
              </w:rPr>
              <w:t xml:space="preserve">Detailed pupil by pupil conversations between teachers and leaders following collection of summative data. Progress, quality of ILP targets, Barriers to learning and interventions are discussed and actions are set to support pupils and close gaps in learning. </w:t>
            </w:r>
          </w:p>
        </w:tc>
      </w:tr>
      <w:tr w:rsidR="007E46E7" w14:paraId="4CBD4C83" w14:textId="77777777" w:rsidTr="00122F64">
        <w:tc>
          <w:tcPr>
            <w:tcW w:w="1277" w:type="dxa"/>
            <w:shd w:val="clear" w:color="auto" w:fill="B4C6E7" w:themeFill="accent1" w:themeFillTint="66"/>
          </w:tcPr>
          <w:p w14:paraId="4F97E918" w14:textId="77777777" w:rsidR="007E46E7" w:rsidRPr="0079106B" w:rsidRDefault="007E46E7" w:rsidP="007E46E7">
            <w:pPr>
              <w:rPr>
                <w:rFonts w:ascii="Tahoma" w:hAnsi="Tahoma" w:cs="Tahoma"/>
                <w:sz w:val="20"/>
              </w:rPr>
            </w:pPr>
          </w:p>
        </w:tc>
        <w:tc>
          <w:tcPr>
            <w:tcW w:w="1984" w:type="dxa"/>
            <w:shd w:val="clear" w:color="auto" w:fill="B4C6E7" w:themeFill="accent1" w:themeFillTint="66"/>
          </w:tcPr>
          <w:p w14:paraId="11D61D7B" w14:textId="164F4D70" w:rsidR="007E46E7" w:rsidRPr="0079106B" w:rsidRDefault="007E46E7" w:rsidP="007E46E7">
            <w:pPr>
              <w:rPr>
                <w:rFonts w:ascii="Tahoma" w:hAnsi="Tahoma" w:cs="Tahoma"/>
                <w:sz w:val="20"/>
              </w:rPr>
            </w:pPr>
            <w:r w:rsidRPr="0079106B">
              <w:rPr>
                <w:rFonts w:ascii="Tahoma" w:hAnsi="Tahoma" w:cs="Tahoma"/>
                <w:sz w:val="20"/>
              </w:rPr>
              <w:t xml:space="preserve">Moderation </w:t>
            </w:r>
          </w:p>
        </w:tc>
        <w:tc>
          <w:tcPr>
            <w:tcW w:w="6662" w:type="dxa"/>
            <w:shd w:val="clear" w:color="auto" w:fill="B4C6E7" w:themeFill="accent1" w:themeFillTint="66"/>
          </w:tcPr>
          <w:p w14:paraId="5E35B067" w14:textId="3D3DC362" w:rsidR="007E46E7" w:rsidRPr="0079106B" w:rsidRDefault="00122F64" w:rsidP="007E46E7">
            <w:pPr>
              <w:rPr>
                <w:rFonts w:ascii="Tahoma" w:hAnsi="Tahoma" w:cs="Tahoma"/>
                <w:sz w:val="20"/>
              </w:rPr>
            </w:pPr>
            <w:r w:rsidRPr="0079106B">
              <w:rPr>
                <w:rFonts w:ascii="Tahoma" w:hAnsi="Tahoma" w:cs="Tahoma"/>
                <w:sz w:val="20"/>
              </w:rPr>
              <w:t xml:space="preserve">Moderation of work within an agreed subject/faculty to ensure consistency of teacher judgements against our frameworks. </w:t>
            </w:r>
          </w:p>
        </w:tc>
      </w:tr>
      <w:tr w:rsidR="007E46E7" w14:paraId="0991D16B" w14:textId="77777777" w:rsidTr="00122F64">
        <w:tc>
          <w:tcPr>
            <w:tcW w:w="1277" w:type="dxa"/>
            <w:shd w:val="clear" w:color="auto" w:fill="B4C6E7" w:themeFill="accent1" w:themeFillTint="66"/>
          </w:tcPr>
          <w:p w14:paraId="152D296A" w14:textId="77777777" w:rsidR="007E46E7" w:rsidRPr="0079106B" w:rsidRDefault="007E46E7" w:rsidP="007E46E7">
            <w:pPr>
              <w:rPr>
                <w:rFonts w:ascii="Tahoma" w:hAnsi="Tahoma" w:cs="Tahoma"/>
                <w:sz w:val="20"/>
              </w:rPr>
            </w:pPr>
          </w:p>
        </w:tc>
        <w:tc>
          <w:tcPr>
            <w:tcW w:w="1984" w:type="dxa"/>
            <w:shd w:val="clear" w:color="auto" w:fill="B4C6E7" w:themeFill="accent1" w:themeFillTint="66"/>
          </w:tcPr>
          <w:p w14:paraId="009A8999" w14:textId="1B77F5EA" w:rsidR="007E46E7" w:rsidRPr="0079106B" w:rsidRDefault="0079106B" w:rsidP="007E46E7">
            <w:pPr>
              <w:rPr>
                <w:rFonts w:ascii="Tahoma" w:hAnsi="Tahoma" w:cs="Tahoma"/>
                <w:sz w:val="20"/>
              </w:rPr>
            </w:pPr>
            <w:r w:rsidRPr="0079106B">
              <w:rPr>
                <w:rFonts w:ascii="Tahoma" w:hAnsi="Tahoma" w:cs="Tahoma"/>
                <w:sz w:val="20"/>
              </w:rPr>
              <w:t xml:space="preserve">Learning walks </w:t>
            </w:r>
          </w:p>
        </w:tc>
        <w:tc>
          <w:tcPr>
            <w:tcW w:w="6662" w:type="dxa"/>
            <w:shd w:val="clear" w:color="auto" w:fill="B4C6E7" w:themeFill="accent1" w:themeFillTint="66"/>
          </w:tcPr>
          <w:p w14:paraId="439D6E00" w14:textId="3EC8652D" w:rsidR="007E46E7" w:rsidRPr="0079106B" w:rsidRDefault="0079106B" w:rsidP="007E46E7">
            <w:pPr>
              <w:rPr>
                <w:rFonts w:ascii="Tahoma" w:hAnsi="Tahoma" w:cs="Tahoma"/>
                <w:sz w:val="20"/>
              </w:rPr>
            </w:pPr>
            <w:r w:rsidRPr="0079106B">
              <w:rPr>
                <w:rFonts w:ascii="Tahoma" w:hAnsi="Tahoma" w:cs="Tahoma"/>
                <w:sz w:val="20"/>
              </w:rPr>
              <w:t xml:space="preserve">Learning walks with an agreed focus. </w:t>
            </w:r>
          </w:p>
        </w:tc>
      </w:tr>
      <w:tr w:rsidR="007E46E7" w14:paraId="2D2C1800" w14:textId="77777777" w:rsidTr="00122F64">
        <w:tc>
          <w:tcPr>
            <w:tcW w:w="1277" w:type="dxa"/>
            <w:shd w:val="clear" w:color="auto" w:fill="A8D08D" w:themeFill="accent6" w:themeFillTint="99"/>
          </w:tcPr>
          <w:p w14:paraId="3A1BA587" w14:textId="0EECA240" w:rsidR="007E46E7" w:rsidRPr="0079106B" w:rsidRDefault="007E46E7" w:rsidP="007E46E7">
            <w:pPr>
              <w:rPr>
                <w:rFonts w:ascii="Tahoma" w:hAnsi="Tahoma" w:cs="Tahoma"/>
                <w:sz w:val="20"/>
              </w:rPr>
            </w:pPr>
            <w:r w:rsidRPr="0079106B">
              <w:rPr>
                <w:rFonts w:ascii="Tahoma" w:hAnsi="Tahoma" w:cs="Tahoma"/>
                <w:sz w:val="20"/>
              </w:rPr>
              <w:t xml:space="preserve">Spring 1 </w:t>
            </w:r>
          </w:p>
        </w:tc>
        <w:tc>
          <w:tcPr>
            <w:tcW w:w="1984" w:type="dxa"/>
            <w:shd w:val="clear" w:color="auto" w:fill="A8D08D" w:themeFill="accent6" w:themeFillTint="99"/>
          </w:tcPr>
          <w:p w14:paraId="51A9F399" w14:textId="0DDCE845" w:rsidR="007E46E7" w:rsidRPr="0079106B" w:rsidRDefault="007E46E7" w:rsidP="007E46E7">
            <w:pPr>
              <w:rPr>
                <w:rFonts w:ascii="Tahoma" w:hAnsi="Tahoma" w:cs="Tahoma"/>
                <w:sz w:val="20"/>
              </w:rPr>
            </w:pPr>
            <w:r w:rsidRPr="0079106B">
              <w:rPr>
                <w:rFonts w:ascii="Tahoma" w:hAnsi="Tahoma" w:cs="Tahoma"/>
                <w:sz w:val="20"/>
              </w:rPr>
              <w:t xml:space="preserve">Planning scrutiny </w:t>
            </w:r>
          </w:p>
        </w:tc>
        <w:tc>
          <w:tcPr>
            <w:tcW w:w="6662" w:type="dxa"/>
            <w:shd w:val="clear" w:color="auto" w:fill="A8D08D" w:themeFill="accent6" w:themeFillTint="99"/>
          </w:tcPr>
          <w:p w14:paraId="7FF32053" w14:textId="09BAF857" w:rsidR="007E46E7" w:rsidRPr="0079106B" w:rsidRDefault="0079106B" w:rsidP="007E46E7">
            <w:pPr>
              <w:rPr>
                <w:rFonts w:ascii="Tahoma" w:hAnsi="Tahoma" w:cs="Tahoma"/>
                <w:sz w:val="20"/>
              </w:rPr>
            </w:pPr>
            <w:r w:rsidRPr="0079106B">
              <w:rPr>
                <w:rFonts w:ascii="Tahoma" w:hAnsi="Tahoma" w:cs="Tahoma"/>
                <w:sz w:val="20"/>
              </w:rPr>
              <w:t xml:space="preserve">See </w:t>
            </w:r>
            <w:proofErr w:type="spellStart"/>
            <w:r w:rsidRPr="0079106B">
              <w:rPr>
                <w:rFonts w:ascii="Tahoma" w:hAnsi="Tahoma" w:cs="Tahoma"/>
                <w:sz w:val="20"/>
              </w:rPr>
              <w:t>Aut</w:t>
            </w:r>
            <w:proofErr w:type="spellEnd"/>
            <w:r w:rsidRPr="0079106B">
              <w:rPr>
                <w:rFonts w:ascii="Tahoma" w:hAnsi="Tahoma" w:cs="Tahoma"/>
                <w:sz w:val="20"/>
              </w:rPr>
              <w:t xml:space="preserve"> 1.</w:t>
            </w:r>
          </w:p>
        </w:tc>
      </w:tr>
      <w:tr w:rsidR="007E46E7" w14:paraId="14181F7A" w14:textId="77777777" w:rsidTr="00122F64">
        <w:tc>
          <w:tcPr>
            <w:tcW w:w="1277" w:type="dxa"/>
            <w:shd w:val="clear" w:color="auto" w:fill="A8D08D" w:themeFill="accent6" w:themeFillTint="99"/>
          </w:tcPr>
          <w:p w14:paraId="54D75093" w14:textId="77777777" w:rsidR="007E46E7" w:rsidRPr="0079106B" w:rsidRDefault="007E46E7" w:rsidP="007E46E7">
            <w:pPr>
              <w:rPr>
                <w:rFonts w:ascii="Tahoma" w:hAnsi="Tahoma" w:cs="Tahoma"/>
                <w:sz w:val="20"/>
              </w:rPr>
            </w:pPr>
          </w:p>
        </w:tc>
        <w:tc>
          <w:tcPr>
            <w:tcW w:w="1984" w:type="dxa"/>
            <w:shd w:val="clear" w:color="auto" w:fill="A8D08D" w:themeFill="accent6" w:themeFillTint="99"/>
          </w:tcPr>
          <w:p w14:paraId="633AEDDE" w14:textId="13E3A820" w:rsidR="007E46E7" w:rsidRPr="0079106B" w:rsidRDefault="007E46E7" w:rsidP="007E46E7">
            <w:pPr>
              <w:rPr>
                <w:rFonts w:ascii="Tahoma" w:hAnsi="Tahoma" w:cs="Tahoma"/>
                <w:sz w:val="20"/>
              </w:rPr>
            </w:pPr>
            <w:r w:rsidRPr="0079106B">
              <w:rPr>
                <w:rFonts w:ascii="Tahoma" w:hAnsi="Tahoma" w:cs="Tahoma"/>
                <w:sz w:val="20"/>
              </w:rPr>
              <w:t xml:space="preserve">Collaborative enquiry within a </w:t>
            </w:r>
            <w:r w:rsidR="00122F64" w:rsidRPr="0079106B">
              <w:rPr>
                <w:rFonts w:ascii="Tahoma" w:hAnsi="Tahoma" w:cs="Tahoma"/>
                <w:sz w:val="20"/>
              </w:rPr>
              <w:t xml:space="preserve">foundation </w:t>
            </w:r>
            <w:r w:rsidRPr="0079106B">
              <w:rPr>
                <w:rFonts w:ascii="Tahoma" w:hAnsi="Tahoma" w:cs="Tahoma"/>
                <w:sz w:val="20"/>
              </w:rPr>
              <w:t xml:space="preserve">faculty </w:t>
            </w:r>
          </w:p>
        </w:tc>
        <w:tc>
          <w:tcPr>
            <w:tcW w:w="6662" w:type="dxa"/>
            <w:shd w:val="clear" w:color="auto" w:fill="A8D08D" w:themeFill="accent6" w:themeFillTint="99"/>
          </w:tcPr>
          <w:p w14:paraId="66C44F03" w14:textId="7D1C989D" w:rsidR="007E46E7" w:rsidRPr="0079106B" w:rsidRDefault="0079106B" w:rsidP="007E46E7">
            <w:pPr>
              <w:rPr>
                <w:rFonts w:ascii="Tahoma" w:hAnsi="Tahoma" w:cs="Tahoma"/>
                <w:sz w:val="20"/>
              </w:rPr>
            </w:pPr>
            <w:r w:rsidRPr="0079106B">
              <w:rPr>
                <w:rFonts w:ascii="Tahoma" w:hAnsi="Tahoma" w:cs="Tahoma"/>
                <w:sz w:val="20"/>
              </w:rPr>
              <w:t xml:space="preserve">See </w:t>
            </w:r>
            <w:proofErr w:type="spellStart"/>
            <w:r w:rsidRPr="0079106B">
              <w:rPr>
                <w:rFonts w:ascii="Tahoma" w:hAnsi="Tahoma" w:cs="Tahoma"/>
                <w:sz w:val="20"/>
              </w:rPr>
              <w:t>Aut</w:t>
            </w:r>
            <w:proofErr w:type="spellEnd"/>
            <w:r w:rsidRPr="0079106B">
              <w:rPr>
                <w:rFonts w:ascii="Tahoma" w:hAnsi="Tahoma" w:cs="Tahoma"/>
                <w:sz w:val="20"/>
              </w:rPr>
              <w:t xml:space="preserve"> 1.</w:t>
            </w:r>
          </w:p>
        </w:tc>
      </w:tr>
      <w:tr w:rsidR="007E46E7" w14:paraId="733362CF" w14:textId="77777777" w:rsidTr="00122F64">
        <w:tc>
          <w:tcPr>
            <w:tcW w:w="1277" w:type="dxa"/>
            <w:shd w:val="clear" w:color="auto" w:fill="C5E0B3" w:themeFill="accent6" w:themeFillTint="66"/>
          </w:tcPr>
          <w:p w14:paraId="660387BC" w14:textId="5E199E69" w:rsidR="007E46E7" w:rsidRPr="0079106B" w:rsidRDefault="007E46E7" w:rsidP="007E46E7">
            <w:pPr>
              <w:rPr>
                <w:rFonts w:ascii="Tahoma" w:hAnsi="Tahoma" w:cs="Tahoma"/>
                <w:sz w:val="20"/>
              </w:rPr>
            </w:pPr>
            <w:r w:rsidRPr="0079106B">
              <w:rPr>
                <w:rFonts w:ascii="Tahoma" w:hAnsi="Tahoma" w:cs="Tahoma"/>
                <w:sz w:val="20"/>
              </w:rPr>
              <w:t xml:space="preserve">Spring 2 </w:t>
            </w:r>
          </w:p>
        </w:tc>
        <w:tc>
          <w:tcPr>
            <w:tcW w:w="1984" w:type="dxa"/>
            <w:shd w:val="clear" w:color="auto" w:fill="C5E0B3" w:themeFill="accent6" w:themeFillTint="66"/>
          </w:tcPr>
          <w:p w14:paraId="307B164F" w14:textId="329E8BA9" w:rsidR="007E46E7" w:rsidRPr="0079106B" w:rsidRDefault="007E46E7" w:rsidP="007E46E7">
            <w:pPr>
              <w:rPr>
                <w:rFonts w:ascii="Tahoma" w:hAnsi="Tahoma" w:cs="Tahoma"/>
                <w:sz w:val="20"/>
              </w:rPr>
            </w:pPr>
            <w:r w:rsidRPr="0079106B">
              <w:rPr>
                <w:rFonts w:ascii="Tahoma" w:hAnsi="Tahoma" w:cs="Tahoma"/>
                <w:sz w:val="20"/>
              </w:rPr>
              <w:t xml:space="preserve">Pupil progress meetings </w:t>
            </w:r>
          </w:p>
        </w:tc>
        <w:tc>
          <w:tcPr>
            <w:tcW w:w="6662" w:type="dxa"/>
            <w:shd w:val="clear" w:color="auto" w:fill="C5E0B3" w:themeFill="accent6" w:themeFillTint="66"/>
          </w:tcPr>
          <w:p w14:paraId="7D139476" w14:textId="26D66EA3" w:rsidR="007E46E7" w:rsidRPr="0079106B" w:rsidRDefault="00122F64" w:rsidP="007E46E7">
            <w:pPr>
              <w:rPr>
                <w:rFonts w:ascii="Tahoma" w:hAnsi="Tahoma" w:cs="Tahoma"/>
                <w:sz w:val="20"/>
              </w:rPr>
            </w:pPr>
            <w:r w:rsidRPr="0079106B">
              <w:rPr>
                <w:rFonts w:ascii="Tahoma" w:hAnsi="Tahoma" w:cs="Tahoma"/>
                <w:sz w:val="20"/>
              </w:rPr>
              <w:t xml:space="preserve">Autumn 2 actions reviewed and further pupil specific conversations are held. </w:t>
            </w:r>
          </w:p>
        </w:tc>
      </w:tr>
      <w:tr w:rsidR="0079106B" w14:paraId="460EBEF0" w14:textId="77777777" w:rsidTr="00122F64">
        <w:tc>
          <w:tcPr>
            <w:tcW w:w="1277" w:type="dxa"/>
            <w:shd w:val="clear" w:color="auto" w:fill="C5E0B3" w:themeFill="accent6" w:themeFillTint="66"/>
          </w:tcPr>
          <w:p w14:paraId="75B450D9" w14:textId="77777777" w:rsidR="0079106B" w:rsidRPr="0079106B" w:rsidRDefault="0079106B" w:rsidP="0079106B">
            <w:pPr>
              <w:rPr>
                <w:rFonts w:ascii="Tahoma" w:hAnsi="Tahoma" w:cs="Tahoma"/>
                <w:sz w:val="20"/>
              </w:rPr>
            </w:pPr>
          </w:p>
        </w:tc>
        <w:tc>
          <w:tcPr>
            <w:tcW w:w="1984" w:type="dxa"/>
            <w:shd w:val="clear" w:color="auto" w:fill="C5E0B3" w:themeFill="accent6" w:themeFillTint="66"/>
          </w:tcPr>
          <w:p w14:paraId="218E874A" w14:textId="2BFFD9E9" w:rsidR="0079106B" w:rsidRPr="0079106B" w:rsidRDefault="0079106B" w:rsidP="0079106B">
            <w:pPr>
              <w:rPr>
                <w:rFonts w:ascii="Tahoma" w:hAnsi="Tahoma" w:cs="Tahoma"/>
                <w:sz w:val="20"/>
              </w:rPr>
            </w:pPr>
            <w:r w:rsidRPr="0079106B">
              <w:rPr>
                <w:rFonts w:ascii="Tahoma" w:hAnsi="Tahoma" w:cs="Tahoma"/>
                <w:sz w:val="20"/>
              </w:rPr>
              <w:t>Moderation</w:t>
            </w:r>
          </w:p>
        </w:tc>
        <w:tc>
          <w:tcPr>
            <w:tcW w:w="6662" w:type="dxa"/>
            <w:shd w:val="clear" w:color="auto" w:fill="C5E0B3" w:themeFill="accent6" w:themeFillTint="66"/>
          </w:tcPr>
          <w:p w14:paraId="73E8D3B5" w14:textId="5F95681F" w:rsidR="0079106B" w:rsidRPr="0079106B" w:rsidRDefault="0079106B" w:rsidP="0079106B">
            <w:pPr>
              <w:rPr>
                <w:rFonts w:ascii="Tahoma" w:hAnsi="Tahoma" w:cs="Tahoma"/>
                <w:sz w:val="20"/>
              </w:rPr>
            </w:pPr>
            <w:r w:rsidRPr="0079106B">
              <w:rPr>
                <w:rFonts w:ascii="Tahoma" w:hAnsi="Tahoma" w:cs="Tahoma"/>
                <w:sz w:val="20"/>
              </w:rPr>
              <w:t xml:space="preserve">Moderation of work within an agreed subject/faculty to ensure consistency of teacher judgements against our frameworks. </w:t>
            </w:r>
          </w:p>
        </w:tc>
      </w:tr>
      <w:tr w:rsidR="0079106B" w14:paraId="5982F0A2" w14:textId="77777777" w:rsidTr="00122F64">
        <w:tc>
          <w:tcPr>
            <w:tcW w:w="1277" w:type="dxa"/>
            <w:shd w:val="clear" w:color="auto" w:fill="C5E0B3" w:themeFill="accent6" w:themeFillTint="66"/>
          </w:tcPr>
          <w:p w14:paraId="0BAEECDA" w14:textId="77777777" w:rsidR="0079106B" w:rsidRPr="0079106B" w:rsidRDefault="0079106B" w:rsidP="0079106B">
            <w:pPr>
              <w:rPr>
                <w:rFonts w:ascii="Tahoma" w:hAnsi="Tahoma" w:cs="Tahoma"/>
                <w:sz w:val="20"/>
              </w:rPr>
            </w:pPr>
          </w:p>
        </w:tc>
        <w:tc>
          <w:tcPr>
            <w:tcW w:w="1984" w:type="dxa"/>
            <w:shd w:val="clear" w:color="auto" w:fill="C5E0B3" w:themeFill="accent6" w:themeFillTint="66"/>
          </w:tcPr>
          <w:p w14:paraId="50C11354" w14:textId="08D915D5" w:rsidR="0079106B" w:rsidRPr="0079106B" w:rsidRDefault="0079106B" w:rsidP="0079106B">
            <w:pPr>
              <w:rPr>
                <w:rFonts w:ascii="Tahoma" w:hAnsi="Tahoma" w:cs="Tahoma"/>
                <w:sz w:val="20"/>
              </w:rPr>
            </w:pPr>
            <w:r w:rsidRPr="0079106B">
              <w:rPr>
                <w:rFonts w:ascii="Tahoma" w:hAnsi="Tahoma" w:cs="Tahoma"/>
                <w:sz w:val="20"/>
              </w:rPr>
              <w:t xml:space="preserve">Learning walks </w:t>
            </w:r>
          </w:p>
        </w:tc>
        <w:tc>
          <w:tcPr>
            <w:tcW w:w="6662" w:type="dxa"/>
            <w:shd w:val="clear" w:color="auto" w:fill="C5E0B3" w:themeFill="accent6" w:themeFillTint="66"/>
          </w:tcPr>
          <w:p w14:paraId="1A0F56D5" w14:textId="212A8ED7" w:rsidR="0079106B" w:rsidRPr="0079106B" w:rsidRDefault="0079106B" w:rsidP="0079106B">
            <w:pPr>
              <w:rPr>
                <w:rFonts w:ascii="Tahoma" w:hAnsi="Tahoma" w:cs="Tahoma"/>
                <w:sz w:val="20"/>
              </w:rPr>
            </w:pPr>
            <w:r w:rsidRPr="0079106B">
              <w:rPr>
                <w:rFonts w:ascii="Tahoma" w:hAnsi="Tahoma" w:cs="Tahoma"/>
                <w:sz w:val="20"/>
              </w:rPr>
              <w:t>Learning walks with an agreed focus.</w:t>
            </w:r>
          </w:p>
        </w:tc>
      </w:tr>
      <w:tr w:rsidR="0079106B" w14:paraId="69614642" w14:textId="77777777" w:rsidTr="00122F64">
        <w:tc>
          <w:tcPr>
            <w:tcW w:w="1277" w:type="dxa"/>
            <w:shd w:val="clear" w:color="auto" w:fill="FFD966" w:themeFill="accent4" w:themeFillTint="99"/>
          </w:tcPr>
          <w:p w14:paraId="212367B4" w14:textId="3A44EC0A" w:rsidR="0079106B" w:rsidRPr="0079106B" w:rsidRDefault="0079106B" w:rsidP="0079106B">
            <w:pPr>
              <w:rPr>
                <w:rFonts w:ascii="Tahoma" w:hAnsi="Tahoma" w:cs="Tahoma"/>
                <w:sz w:val="20"/>
              </w:rPr>
            </w:pPr>
            <w:r w:rsidRPr="0079106B">
              <w:rPr>
                <w:rFonts w:ascii="Tahoma" w:hAnsi="Tahoma" w:cs="Tahoma"/>
                <w:sz w:val="20"/>
              </w:rPr>
              <w:t xml:space="preserve">Summer 1 </w:t>
            </w:r>
          </w:p>
        </w:tc>
        <w:tc>
          <w:tcPr>
            <w:tcW w:w="1984" w:type="dxa"/>
            <w:shd w:val="clear" w:color="auto" w:fill="FFD966" w:themeFill="accent4" w:themeFillTint="99"/>
          </w:tcPr>
          <w:p w14:paraId="664E2008" w14:textId="3B01B2BB" w:rsidR="0079106B" w:rsidRPr="0079106B" w:rsidRDefault="0079106B" w:rsidP="0079106B">
            <w:pPr>
              <w:rPr>
                <w:rFonts w:ascii="Tahoma" w:hAnsi="Tahoma" w:cs="Tahoma"/>
                <w:sz w:val="20"/>
              </w:rPr>
            </w:pPr>
            <w:r w:rsidRPr="0079106B">
              <w:rPr>
                <w:rFonts w:ascii="Tahoma" w:hAnsi="Tahoma" w:cs="Tahoma"/>
                <w:sz w:val="20"/>
              </w:rPr>
              <w:t xml:space="preserve">Planning scrutiny </w:t>
            </w:r>
          </w:p>
        </w:tc>
        <w:tc>
          <w:tcPr>
            <w:tcW w:w="6662" w:type="dxa"/>
            <w:shd w:val="clear" w:color="auto" w:fill="FFD966" w:themeFill="accent4" w:themeFillTint="99"/>
          </w:tcPr>
          <w:p w14:paraId="5E2FC339" w14:textId="0F7E814F" w:rsidR="0079106B" w:rsidRPr="0079106B" w:rsidRDefault="0079106B" w:rsidP="0079106B">
            <w:pPr>
              <w:rPr>
                <w:rFonts w:ascii="Tahoma" w:hAnsi="Tahoma" w:cs="Tahoma"/>
                <w:sz w:val="20"/>
              </w:rPr>
            </w:pPr>
            <w:r w:rsidRPr="0079106B">
              <w:rPr>
                <w:rFonts w:ascii="Tahoma" w:hAnsi="Tahoma" w:cs="Tahoma"/>
                <w:sz w:val="20"/>
              </w:rPr>
              <w:t xml:space="preserve">See </w:t>
            </w:r>
            <w:proofErr w:type="spellStart"/>
            <w:r w:rsidRPr="0079106B">
              <w:rPr>
                <w:rFonts w:ascii="Tahoma" w:hAnsi="Tahoma" w:cs="Tahoma"/>
                <w:sz w:val="20"/>
              </w:rPr>
              <w:t>Aut</w:t>
            </w:r>
            <w:proofErr w:type="spellEnd"/>
            <w:r w:rsidRPr="0079106B">
              <w:rPr>
                <w:rFonts w:ascii="Tahoma" w:hAnsi="Tahoma" w:cs="Tahoma"/>
                <w:sz w:val="20"/>
              </w:rPr>
              <w:t xml:space="preserve"> 1.</w:t>
            </w:r>
          </w:p>
        </w:tc>
      </w:tr>
      <w:tr w:rsidR="0079106B" w14:paraId="200BDBE5" w14:textId="77777777" w:rsidTr="00122F64">
        <w:tc>
          <w:tcPr>
            <w:tcW w:w="1277" w:type="dxa"/>
            <w:shd w:val="clear" w:color="auto" w:fill="FFD966" w:themeFill="accent4" w:themeFillTint="99"/>
          </w:tcPr>
          <w:p w14:paraId="53038DC3" w14:textId="77777777" w:rsidR="0079106B" w:rsidRPr="0079106B" w:rsidRDefault="0079106B" w:rsidP="0079106B">
            <w:pPr>
              <w:rPr>
                <w:rFonts w:ascii="Tahoma" w:hAnsi="Tahoma" w:cs="Tahoma"/>
                <w:sz w:val="20"/>
              </w:rPr>
            </w:pPr>
          </w:p>
        </w:tc>
        <w:tc>
          <w:tcPr>
            <w:tcW w:w="1984" w:type="dxa"/>
            <w:shd w:val="clear" w:color="auto" w:fill="FFD966" w:themeFill="accent4" w:themeFillTint="99"/>
          </w:tcPr>
          <w:p w14:paraId="4A62453C" w14:textId="4B327910" w:rsidR="0079106B" w:rsidRPr="0079106B" w:rsidRDefault="0079106B" w:rsidP="0079106B">
            <w:pPr>
              <w:rPr>
                <w:rFonts w:ascii="Tahoma" w:hAnsi="Tahoma" w:cs="Tahoma"/>
                <w:sz w:val="20"/>
              </w:rPr>
            </w:pPr>
            <w:r w:rsidRPr="0079106B">
              <w:rPr>
                <w:rFonts w:ascii="Tahoma" w:hAnsi="Tahoma" w:cs="Tahoma"/>
                <w:sz w:val="20"/>
              </w:rPr>
              <w:t xml:space="preserve">Collaborative enquiry within a core faculty </w:t>
            </w:r>
          </w:p>
        </w:tc>
        <w:tc>
          <w:tcPr>
            <w:tcW w:w="6662" w:type="dxa"/>
            <w:shd w:val="clear" w:color="auto" w:fill="FFD966" w:themeFill="accent4" w:themeFillTint="99"/>
          </w:tcPr>
          <w:p w14:paraId="3706EF01" w14:textId="67012FE5" w:rsidR="0079106B" w:rsidRPr="0079106B" w:rsidRDefault="0079106B" w:rsidP="0079106B">
            <w:pPr>
              <w:rPr>
                <w:rFonts w:ascii="Tahoma" w:hAnsi="Tahoma" w:cs="Tahoma"/>
                <w:sz w:val="20"/>
              </w:rPr>
            </w:pPr>
            <w:r w:rsidRPr="0079106B">
              <w:rPr>
                <w:rFonts w:ascii="Tahoma" w:hAnsi="Tahoma" w:cs="Tahoma"/>
                <w:sz w:val="20"/>
              </w:rPr>
              <w:t xml:space="preserve">See </w:t>
            </w:r>
            <w:proofErr w:type="spellStart"/>
            <w:r w:rsidRPr="0079106B">
              <w:rPr>
                <w:rFonts w:ascii="Tahoma" w:hAnsi="Tahoma" w:cs="Tahoma"/>
                <w:sz w:val="20"/>
              </w:rPr>
              <w:t>Aut</w:t>
            </w:r>
            <w:proofErr w:type="spellEnd"/>
            <w:r w:rsidRPr="0079106B">
              <w:rPr>
                <w:rFonts w:ascii="Tahoma" w:hAnsi="Tahoma" w:cs="Tahoma"/>
                <w:sz w:val="20"/>
              </w:rPr>
              <w:t xml:space="preserve"> 1.</w:t>
            </w:r>
          </w:p>
        </w:tc>
      </w:tr>
      <w:tr w:rsidR="0079106B" w14:paraId="06B6F5E0" w14:textId="77777777" w:rsidTr="00122F64">
        <w:tc>
          <w:tcPr>
            <w:tcW w:w="1277" w:type="dxa"/>
            <w:shd w:val="clear" w:color="auto" w:fill="FFF2CC" w:themeFill="accent4" w:themeFillTint="33"/>
          </w:tcPr>
          <w:p w14:paraId="6D5755F4" w14:textId="5DB0E01E" w:rsidR="0079106B" w:rsidRPr="0079106B" w:rsidRDefault="0079106B" w:rsidP="0079106B">
            <w:pPr>
              <w:rPr>
                <w:rFonts w:ascii="Tahoma" w:hAnsi="Tahoma" w:cs="Tahoma"/>
                <w:sz w:val="20"/>
              </w:rPr>
            </w:pPr>
            <w:r w:rsidRPr="0079106B">
              <w:rPr>
                <w:rFonts w:ascii="Tahoma" w:hAnsi="Tahoma" w:cs="Tahoma"/>
                <w:sz w:val="20"/>
              </w:rPr>
              <w:t xml:space="preserve">Summer 2 </w:t>
            </w:r>
          </w:p>
        </w:tc>
        <w:tc>
          <w:tcPr>
            <w:tcW w:w="1984" w:type="dxa"/>
            <w:shd w:val="clear" w:color="auto" w:fill="FFF2CC" w:themeFill="accent4" w:themeFillTint="33"/>
          </w:tcPr>
          <w:p w14:paraId="4A897597" w14:textId="7937D219" w:rsidR="0079106B" w:rsidRPr="0079106B" w:rsidRDefault="0079106B" w:rsidP="0079106B">
            <w:pPr>
              <w:rPr>
                <w:rFonts w:ascii="Tahoma" w:hAnsi="Tahoma" w:cs="Tahoma"/>
                <w:sz w:val="20"/>
              </w:rPr>
            </w:pPr>
            <w:r w:rsidRPr="0079106B">
              <w:rPr>
                <w:rFonts w:ascii="Tahoma" w:hAnsi="Tahoma" w:cs="Tahoma"/>
                <w:sz w:val="20"/>
              </w:rPr>
              <w:t xml:space="preserve">Planning scrutiny </w:t>
            </w:r>
          </w:p>
        </w:tc>
        <w:tc>
          <w:tcPr>
            <w:tcW w:w="6662" w:type="dxa"/>
            <w:shd w:val="clear" w:color="auto" w:fill="FFF2CC" w:themeFill="accent4" w:themeFillTint="33"/>
          </w:tcPr>
          <w:p w14:paraId="1670F6C1" w14:textId="038A672D" w:rsidR="0079106B" w:rsidRPr="0079106B" w:rsidRDefault="0079106B" w:rsidP="0079106B">
            <w:pPr>
              <w:rPr>
                <w:rFonts w:ascii="Tahoma" w:hAnsi="Tahoma" w:cs="Tahoma"/>
                <w:sz w:val="20"/>
              </w:rPr>
            </w:pPr>
            <w:r w:rsidRPr="0079106B">
              <w:rPr>
                <w:rFonts w:ascii="Tahoma" w:hAnsi="Tahoma" w:cs="Tahoma"/>
                <w:sz w:val="20"/>
              </w:rPr>
              <w:t xml:space="preserve">See </w:t>
            </w:r>
            <w:proofErr w:type="spellStart"/>
            <w:r w:rsidRPr="0079106B">
              <w:rPr>
                <w:rFonts w:ascii="Tahoma" w:hAnsi="Tahoma" w:cs="Tahoma"/>
                <w:sz w:val="20"/>
              </w:rPr>
              <w:t>Aut</w:t>
            </w:r>
            <w:proofErr w:type="spellEnd"/>
            <w:r w:rsidRPr="0079106B">
              <w:rPr>
                <w:rFonts w:ascii="Tahoma" w:hAnsi="Tahoma" w:cs="Tahoma"/>
                <w:sz w:val="20"/>
              </w:rPr>
              <w:t xml:space="preserve"> 1.</w:t>
            </w:r>
          </w:p>
        </w:tc>
      </w:tr>
      <w:tr w:rsidR="0079106B" w14:paraId="29B250EB" w14:textId="77777777" w:rsidTr="00122F64">
        <w:tc>
          <w:tcPr>
            <w:tcW w:w="1277" w:type="dxa"/>
            <w:shd w:val="clear" w:color="auto" w:fill="FFF2CC" w:themeFill="accent4" w:themeFillTint="33"/>
          </w:tcPr>
          <w:p w14:paraId="376A710B" w14:textId="77777777" w:rsidR="0079106B" w:rsidRPr="0079106B" w:rsidRDefault="0079106B" w:rsidP="0079106B">
            <w:pPr>
              <w:rPr>
                <w:rFonts w:ascii="Tahoma" w:hAnsi="Tahoma" w:cs="Tahoma"/>
                <w:sz w:val="20"/>
              </w:rPr>
            </w:pPr>
          </w:p>
        </w:tc>
        <w:tc>
          <w:tcPr>
            <w:tcW w:w="1984" w:type="dxa"/>
            <w:shd w:val="clear" w:color="auto" w:fill="FFF2CC" w:themeFill="accent4" w:themeFillTint="33"/>
          </w:tcPr>
          <w:p w14:paraId="097F924F" w14:textId="2713BFE5" w:rsidR="0079106B" w:rsidRPr="0079106B" w:rsidRDefault="0079106B" w:rsidP="0079106B">
            <w:pPr>
              <w:rPr>
                <w:rFonts w:ascii="Tahoma" w:hAnsi="Tahoma" w:cs="Tahoma"/>
                <w:sz w:val="20"/>
              </w:rPr>
            </w:pPr>
            <w:r w:rsidRPr="0079106B">
              <w:rPr>
                <w:rFonts w:ascii="Tahoma" w:hAnsi="Tahoma" w:cs="Tahoma"/>
                <w:sz w:val="20"/>
              </w:rPr>
              <w:t xml:space="preserve">Pupil progress meetings </w:t>
            </w:r>
          </w:p>
        </w:tc>
        <w:tc>
          <w:tcPr>
            <w:tcW w:w="6662" w:type="dxa"/>
            <w:shd w:val="clear" w:color="auto" w:fill="FFF2CC" w:themeFill="accent4" w:themeFillTint="33"/>
          </w:tcPr>
          <w:p w14:paraId="7E1C95F8" w14:textId="0F42C36B" w:rsidR="0079106B" w:rsidRPr="0079106B" w:rsidRDefault="0079106B" w:rsidP="0079106B">
            <w:pPr>
              <w:rPr>
                <w:rFonts w:ascii="Tahoma" w:hAnsi="Tahoma" w:cs="Tahoma"/>
                <w:sz w:val="20"/>
              </w:rPr>
            </w:pPr>
            <w:r w:rsidRPr="0079106B">
              <w:rPr>
                <w:rFonts w:ascii="Tahoma" w:hAnsi="Tahoma" w:cs="Tahoma"/>
                <w:sz w:val="20"/>
              </w:rPr>
              <w:t>Spring 2</w:t>
            </w:r>
            <w:r w:rsidRPr="0079106B">
              <w:rPr>
                <w:rFonts w:ascii="Tahoma" w:hAnsi="Tahoma" w:cs="Tahoma"/>
                <w:sz w:val="20"/>
              </w:rPr>
              <w:t xml:space="preserve"> actions reviewed and further pupil specific conversations are held. </w:t>
            </w:r>
          </w:p>
        </w:tc>
      </w:tr>
      <w:tr w:rsidR="0079106B" w14:paraId="240EDF4E" w14:textId="77777777" w:rsidTr="00122F64">
        <w:tc>
          <w:tcPr>
            <w:tcW w:w="1277" w:type="dxa"/>
            <w:shd w:val="clear" w:color="auto" w:fill="FFF2CC" w:themeFill="accent4" w:themeFillTint="33"/>
          </w:tcPr>
          <w:p w14:paraId="235F979F" w14:textId="4B518189" w:rsidR="0079106B" w:rsidRPr="0079106B" w:rsidRDefault="0079106B" w:rsidP="0079106B">
            <w:pPr>
              <w:rPr>
                <w:rFonts w:ascii="Tahoma" w:hAnsi="Tahoma" w:cs="Tahoma"/>
                <w:sz w:val="20"/>
              </w:rPr>
            </w:pPr>
          </w:p>
        </w:tc>
        <w:tc>
          <w:tcPr>
            <w:tcW w:w="1984" w:type="dxa"/>
            <w:shd w:val="clear" w:color="auto" w:fill="FFF2CC" w:themeFill="accent4" w:themeFillTint="33"/>
          </w:tcPr>
          <w:p w14:paraId="25486AC8" w14:textId="52BC0DD0" w:rsidR="0079106B" w:rsidRPr="0079106B" w:rsidRDefault="0079106B" w:rsidP="0079106B">
            <w:pPr>
              <w:rPr>
                <w:rFonts w:ascii="Tahoma" w:hAnsi="Tahoma" w:cs="Tahoma"/>
                <w:sz w:val="20"/>
              </w:rPr>
            </w:pPr>
            <w:r w:rsidRPr="0079106B">
              <w:rPr>
                <w:rFonts w:ascii="Tahoma" w:hAnsi="Tahoma" w:cs="Tahoma"/>
                <w:sz w:val="20"/>
              </w:rPr>
              <w:t xml:space="preserve">Moderation </w:t>
            </w:r>
          </w:p>
        </w:tc>
        <w:tc>
          <w:tcPr>
            <w:tcW w:w="6662" w:type="dxa"/>
            <w:shd w:val="clear" w:color="auto" w:fill="FFF2CC" w:themeFill="accent4" w:themeFillTint="33"/>
          </w:tcPr>
          <w:p w14:paraId="66354116" w14:textId="7FE29A7B" w:rsidR="0079106B" w:rsidRPr="0079106B" w:rsidRDefault="0079106B" w:rsidP="0079106B">
            <w:pPr>
              <w:rPr>
                <w:rFonts w:ascii="Tahoma" w:hAnsi="Tahoma" w:cs="Tahoma"/>
                <w:sz w:val="20"/>
              </w:rPr>
            </w:pPr>
            <w:r w:rsidRPr="0079106B">
              <w:rPr>
                <w:rFonts w:ascii="Tahoma" w:hAnsi="Tahoma" w:cs="Tahoma"/>
                <w:sz w:val="20"/>
              </w:rPr>
              <w:t xml:space="preserve">Moderation of work within an agreed subject/faculty to ensure consistency of teacher judgements against our frameworks. </w:t>
            </w:r>
          </w:p>
        </w:tc>
      </w:tr>
    </w:tbl>
    <w:p w14:paraId="23E90E9E" w14:textId="090C2CE6" w:rsidR="0079106B" w:rsidRDefault="0079106B" w:rsidP="00CF6DE4">
      <w:pPr>
        <w:spacing w:after="0"/>
        <w:rPr>
          <w:sz w:val="24"/>
          <w:szCs w:val="28"/>
        </w:rPr>
      </w:pPr>
    </w:p>
    <w:p w14:paraId="33233964" w14:textId="0A1C918D" w:rsidR="0079106B" w:rsidRPr="0079106B" w:rsidRDefault="0079106B" w:rsidP="00CF6DE4">
      <w:pPr>
        <w:spacing w:after="0"/>
        <w:rPr>
          <w:rFonts w:ascii="Tahoma" w:hAnsi="Tahoma" w:cs="Tahoma"/>
          <w:szCs w:val="24"/>
        </w:rPr>
      </w:pPr>
      <w:r w:rsidRPr="0079106B">
        <w:rPr>
          <w:rFonts w:ascii="Tahoma" w:hAnsi="Tahoma" w:cs="Tahoma"/>
          <w:szCs w:val="24"/>
        </w:rPr>
        <w:t xml:space="preserve">In addition to our annual cycle, Leaders at Kelford work with trust assurance partners </w:t>
      </w:r>
      <w:r>
        <w:rPr>
          <w:rFonts w:ascii="Tahoma" w:hAnsi="Tahoma" w:cs="Tahoma"/>
          <w:szCs w:val="24"/>
        </w:rPr>
        <w:t xml:space="preserve">on agreed quality assurance of SIP priorities and core subject areas following trust QA priorities. </w:t>
      </w:r>
    </w:p>
    <w:sectPr w:rsidR="0079106B" w:rsidRPr="00791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54F1" w14:textId="77777777" w:rsidR="007E46E7" w:rsidRDefault="007E46E7" w:rsidP="007E46E7">
      <w:pPr>
        <w:spacing w:after="0" w:line="240" w:lineRule="auto"/>
      </w:pPr>
      <w:r>
        <w:separator/>
      </w:r>
    </w:p>
  </w:endnote>
  <w:endnote w:type="continuationSeparator" w:id="0">
    <w:p w14:paraId="6A83317E" w14:textId="77777777" w:rsidR="007E46E7" w:rsidRDefault="007E46E7" w:rsidP="007E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26E8" w14:textId="77777777" w:rsidR="007E46E7" w:rsidRDefault="007E46E7" w:rsidP="007E46E7">
      <w:pPr>
        <w:spacing w:after="0" w:line="240" w:lineRule="auto"/>
      </w:pPr>
      <w:r>
        <w:separator/>
      </w:r>
    </w:p>
  </w:footnote>
  <w:footnote w:type="continuationSeparator" w:id="0">
    <w:p w14:paraId="08335366" w14:textId="77777777" w:rsidR="007E46E7" w:rsidRDefault="007E46E7" w:rsidP="007E4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419A"/>
    <w:multiLevelType w:val="hybridMultilevel"/>
    <w:tmpl w:val="BA6A1C00"/>
    <w:lvl w:ilvl="0" w:tplc="D36A0E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D6701"/>
    <w:multiLevelType w:val="hybridMultilevel"/>
    <w:tmpl w:val="3E187926"/>
    <w:lvl w:ilvl="0" w:tplc="314A6C88">
      <w:start w:val="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67BA5"/>
    <w:multiLevelType w:val="hybridMultilevel"/>
    <w:tmpl w:val="138C3692"/>
    <w:lvl w:ilvl="0" w:tplc="6C6C004E">
      <w:start w:val="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D51433"/>
    <w:multiLevelType w:val="hybridMultilevel"/>
    <w:tmpl w:val="3D1A6B04"/>
    <w:lvl w:ilvl="0" w:tplc="1CE6F908">
      <w:start w:val="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B3A98"/>
    <w:multiLevelType w:val="hybridMultilevel"/>
    <w:tmpl w:val="B1D49AAE"/>
    <w:lvl w:ilvl="0" w:tplc="EA6E18F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11CB5"/>
    <w:multiLevelType w:val="hybridMultilevel"/>
    <w:tmpl w:val="E8769466"/>
    <w:lvl w:ilvl="0" w:tplc="F83E04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E4"/>
    <w:rsid w:val="00067044"/>
    <w:rsid w:val="000707B9"/>
    <w:rsid w:val="00122F64"/>
    <w:rsid w:val="001251D7"/>
    <w:rsid w:val="001B1203"/>
    <w:rsid w:val="00275131"/>
    <w:rsid w:val="002B12CB"/>
    <w:rsid w:val="002D2DE2"/>
    <w:rsid w:val="002D46BA"/>
    <w:rsid w:val="00316945"/>
    <w:rsid w:val="00337AB9"/>
    <w:rsid w:val="00426A51"/>
    <w:rsid w:val="004760F7"/>
    <w:rsid w:val="004A6A27"/>
    <w:rsid w:val="004D4037"/>
    <w:rsid w:val="004E2CD1"/>
    <w:rsid w:val="004E35E4"/>
    <w:rsid w:val="00503953"/>
    <w:rsid w:val="005A304B"/>
    <w:rsid w:val="005B3ECE"/>
    <w:rsid w:val="00604890"/>
    <w:rsid w:val="00610F78"/>
    <w:rsid w:val="00621E75"/>
    <w:rsid w:val="006827EF"/>
    <w:rsid w:val="006F46C5"/>
    <w:rsid w:val="0070645C"/>
    <w:rsid w:val="0076788D"/>
    <w:rsid w:val="0079106B"/>
    <w:rsid w:val="007A29B9"/>
    <w:rsid w:val="007C1C2D"/>
    <w:rsid w:val="007D17C4"/>
    <w:rsid w:val="007E46E7"/>
    <w:rsid w:val="008402DE"/>
    <w:rsid w:val="00864E55"/>
    <w:rsid w:val="0087454C"/>
    <w:rsid w:val="00893C00"/>
    <w:rsid w:val="008A075D"/>
    <w:rsid w:val="008E315E"/>
    <w:rsid w:val="00923655"/>
    <w:rsid w:val="009659E0"/>
    <w:rsid w:val="009840A3"/>
    <w:rsid w:val="009968BA"/>
    <w:rsid w:val="009C6E41"/>
    <w:rsid w:val="00A0042C"/>
    <w:rsid w:val="00A73F9F"/>
    <w:rsid w:val="00A827D3"/>
    <w:rsid w:val="00A828DE"/>
    <w:rsid w:val="00B403E9"/>
    <w:rsid w:val="00B41C0A"/>
    <w:rsid w:val="00B95EFF"/>
    <w:rsid w:val="00C22BE2"/>
    <w:rsid w:val="00C45D6D"/>
    <w:rsid w:val="00C75E40"/>
    <w:rsid w:val="00C845D4"/>
    <w:rsid w:val="00CD54D6"/>
    <w:rsid w:val="00CF03C7"/>
    <w:rsid w:val="00CF6DE4"/>
    <w:rsid w:val="00D0678B"/>
    <w:rsid w:val="00E24F1A"/>
    <w:rsid w:val="00E45AAD"/>
    <w:rsid w:val="00E60139"/>
    <w:rsid w:val="00EE5FD9"/>
    <w:rsid w:val="00F60983"/>
    <w:rsid w:val="00FA6295"/>
    <w:rsid w:val="00FD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8B45"/>
  <w15:docId w15:val="{4FA2A477-04E3-448D-8B6D-DB005CA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CD1"/>
    <w:pPr>
      <w:ind w:left="720"/>
      <w:contextualSpacing/>
    </w:pPr>
  </w:style>
  <w:style w:type="paragraph" w:styleId="Header">
    <w:name w:val="header"/>
    <w:basedOn w:val="Normal"/>
    <w:link w:val="HeaderChar"/>
    <w:uiPriority w:val="99"/>
    <w:unhideWhenUsed/>
    <w:rsid w:val="007E4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E7"/>
  </w:style>
  <w:style w:type="paragraph" w:styleId="Footer">
    <w:name w:val="footer"/>
    <w:basedOn w:val="Normal"/>
    <w:link w:val="FooterChar"/>
    <w:uiPriority w:val="99"/>
    <w:unhideWhenUsed/>
    <w:rsid w:val="007E4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E7"/>
  </w:style>
  <w:style w:type="table" w:styleId="TableGrid">
    <w:name w:val="Table Grid"/>
    <w:basedOn w:val="TableNormal"/>
    <w:uiPriority w:val="39"/>
    <w:rsid w:val="007E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2303">
      <w:bodyDiv w:val="1"/>
      <w:marLeft w:val="0"/>
      <w:marRight w:val="0"/>
      <w:marTop w:val="0"/>
      <w:marBottom w:val="0"/>
      <w:divBdr>
        <w:top w:val="none" w:sz="0" w:space="0" w:color="auto"/>
        <w:left w:val="none" w:sz="0" w:space="0" w:color="auto"/>
        <w:bottom w:val="none" w:sz="0" w:space="0" w:color="auto"/>
        <w:right w:val="none" w:sz="0" w:space="0" w:color="auto"/>
      </w:divBdr>
    </w:div>
    <w:div w:id="357118863">
      <w:bodyDiv w:val="1"/>
      <w:marLeft w:val="0"/>
      <w:marRight w:val="0"/>
      <w:marTop w:val="0"/>
      <w:marBottom w:val="0"/>
      <w:divBdr>
        <w:top w:val="none" w:sz="0" w:space="0" w:color="auto"/>
        <w:left w:val="none" w:sz="0" w:space="0" w:color="auto"/>
        <w:bottom w:val="none" w:sz="0" w:space="0" w:color="auto"/>
        <w:right w:val="none" w:sz="0" w:space="0" w:color="auto"/>
      </w:divBdr>
    </w:div>
    <w:div w:id="367994580">
      <w:bodyDiv w:val="1"/>
      <w:marLeft w:val="0"/>
      <w:marRight w:val="0"/>
      <w:marTop w:val="0"/>
      <w:marBottom w:val="0"/>
      <w:divBdr>
        <w:top w:val="none" w:sz="0" w:space="0" w:color="auto"/>
        <w:left w:val="none" w:sz="0" w:space="0" w:color="auto"/>
        <w:bottom w:val="none" w:sz="0" w:space="0" w:color="auto"/>
        <w:right w:val="none" w:sz="0" w:space="0" w:color="auto"/>
      </w:divBdr>
    </w:div>
    <w:div w:id="556670629">
      <w:bodyDiv w:val="1"/>
      <w:marLeft w:val="0"/>
      <w:marRight w:val="0"/>
      <w:marTop w:val="0"/>
      <w:marBottom w:val="0"/>
      <w:divBdr>
        <w:top w:val="none" w:sz="0" w:space="0" w:color="auto"/>
        <w:left w:val="none" w:sz="0" w:space="0" w:color="auto"/>
        <w:bottom w:val="none" w:sz="0" w:space="0" w:color="auto"/>
        <w:right w:val="none" w:sz="0" w:space="0" w:color="auto"/>
      </w:divBdr>
    </w:div>
    <w:div w:id="691340993">
      <w:bodyDiv w:val="1"/>
      <w:marLeft w:val="0"/>
      <w:marRight w:val="0"/>
      <w:marTop w:val="0"/>
      <w:marBottom w:val="0"/>
      <w:divBdr>
        <w:top w:val="none" w:sz="0" w:space="0" w:color="auto"/>
        <w:left w:val="none" w:sz="0" w:space="0" w:color="auto"/>
        <w:bottom w:val="none" w:sz="0" w:space="0" w:color="auto"/>
        <w:right w:val="none" w:sz="0" w:space="0" w:color="auto"/>
      </w:divBdr>
    </w:div>
    <w:div w:id="725690578">
      <w:bodyDiv w:val="1"/>
      <w:marLeft w:val="0"/>
      <w:marRight w:val="0"/>
      <w:marTop w:val="0"/>
      <w:marBottom w:val="0"/>
      <w:divBdr>
        <w:top w:val="none" w:sz="0" w:space="0" w:color="auto"/>
        <w:left w:val="none" w:sz="0" w:space="0" w:color="auto"/>
        <w:bottom w:val="none" w:sz="0" w:space="0" w:color="auto"/>
        <w:right w:val="none" w:sz="0" w:space="0" w:color="auto"/>
      </w:divBdr>
    </w:div>
    <w:div w:id="876501403">
      <w:bodyDiv w:val="1"/>
      <w:marLeft w:val="0"/>
      <w:marRight w:val="0"/>
      <w:marTop w:val="0"/>
      <w:marBottom w:val="0"/>
      <w:divBdr>
        <w:top w:val="none" w:sz="0" w:space="0" w:color="auto"/>
        <w:left w:val="none" w:sz="0" w:space="0" w:color="auto"/>
        <w:bottom w:val="none" w:sz="0" w:space="0" w:color="auto"/>
        <w:right w:val="none" w:sz="0" w:space="0" w:color="auto"/>
      </w:divBdr>
    </w:div>
    <w:div w:id="1080059819">
      <w:bodyDiv w:val="1"/>
      <w:marLeft w:val="0"/>
      <w:marRight w:val="0"/>
      <w:marTop w:val="0"/>
      <w:marBottom w:val="0"/>
      <w:divBdr>
        <w:top w:val="none" w:sz="0" w:space="0" w:color="auto"/>
        <w:left w:val="none" w:sz="0" w:space="0" w:color="auto"/>
        <w:bottom w:val="none" w:sz="0" w:space="0" w:color="auto"/>
        <w:right w:val="none" w:sz="0" w:space="0" w:color="auto"/>
      </w:divBdr>
    </w:div>
    <w:div w:id="1098792579">
      <w:bodyDiv w:val="1"/>
      <w:marLeft w:val="0"/>
      <w:marRight w:val="0"/>
      <w:marTop w:val="0"/>
      <w:marBottom w:val="0"/>
      <w:divBdr>
        <w:top w:val="none" w:sz="0" w:space="0" w:color="auto"/>
        <w:left w:val="none" w:sz="0" w:space="0" w:color="auto"/>
        <w:bottom w:val="none" w:sz="0" w:space="0" w:color="auto"/>
        <w:right w:val="none" w:sz="0" w:space="0" w:color="auto"/>
      </w:divBdr>
    </w:div>
    <w:div w:id="1260021287">
      <w:bodyDiv w:val="1"/>
      <w:marLeft w:val="0"/>
      <w:marRight w:val="0"/>
      <w:marTop w:val="0"/>
      <w:marBottom w:val="0"/>
      <w:divBdr>
        <w:top w:val="none" w:sz="0" w:space="0" w:color="auto"/>
        <w:left w:val="none" w:sz="0" w:space="0" w:color="auto"/>
        <w:bottom w:val="none" w:sz="0" w:space="0" w:color="auto"/>
        <w:right w:val="none" w:sz="0" w:space="0" w:color="auto"/>
      </w:divBdr>
    </w:div>
    <w:div w:id="1263952332">
      <w:bodyDiv w:val="1"/>
      <w:marLeft w:val="0"/>
      <w:marRight w:val="0"/>
      <w:marTop w:val="0"/>
      <w:marBottom w:val="0"/>
      <w:divBdr>
        <w:top w:val="none" w:sz="0" w:space="0" w:color="auto"/>
        <w:left w:val="none" w:sz="0" w:space="0" w:color="auto"/>
        <w:bottom w:val="none" w:sz="0" w:space="0" w:color="auto"/>
        <w:right w:val="none" w:sz="0" w:space="0" w:color="auto"/>
      </w:divBdr>
    </w:div>
    <w:div w:id="1287082308">
      <w:bodyDiv w:val="1"/>
      <w:marLeft w:val="0"/>
      <w:marRight w:val="0"/>
      <w:marTop w:val="0"/>
      <w:marBottom w:val="0"/>
      <w:divBdr>
        <w:top w:val="none" w:sz="0" w:space="0" w:color="auto"/>
        <w:left w:val="none" w:sz="0" w:space="0" w:color="auto"/>
        <w:bottom w:val="none" w:sz="0" w:space="0" w:color="auto"/>
        <w:right w:val="none" w:sz="0" w:space="0" w:color="auto"/>
      </w:divBdr>
    </w:div>
    <w:div w:id="1377851178">
      <w:bodyDiv w:val="1"/>
      <w:marLeft w:val="0"/>
      <w:marRight w:val="0"/>
      <w:marTop w:val="0"/>
      <w:marBottom w:val="0"/>
      <w:divBdr>
        <w:top w:val="none" w:sz="0" w:space="0" w:color="auto"/>
        <w:left w:val="none" w:sz="0" w:space="0" w:color="auto"/>
        <w:bottom w:val="none" w:sz="0" w:space="0" w:color="auto"/>
        <w:right w:val="none" w:sz="0" w:space="0" w:color="auto"/>
      </w:divBdr>
    </w:div>
    <w:div w:id="1399284900">
      <w:bodyDiv w:val="1"/>
      <w:marLeft w:val="0"/>
      <w:marRight w:val="0"/>
      <w:marTop w:val="0"/>
      <w:marBottom w:val="0"/>
      <w:divBdr>
        <w:top w:val="none" w:sz="0" w:space="0" w:color="auto"/>
        <w:left w:val="none" w:sz="0" w:space="0" w:color="auto"/>
        <w:bottom w:val="none" w:sz="0" w:space="0" w:color="auto"/>
        <w:right w:val="none" w:sz="0" w:space="0" w:color="auto"/>
      </w:divBdr>
    </w:div>
    <w:div w:id="1652709759">
      <w:bodyDiv w:val="1"/>
      <w:marLeft w:val="0"/>
      <w:marRight w:val="0"/>
      <w:marTop w:val="0"/>
      <w:marBottom w:val="0"/>
      <w:divBdr>
        <w:top w:val="none" w:sz="0" w:space="0" w:color="auto"/>
        <w:left w:val="none" w:sz="0" w:space="0" w:color="auto"/>
        <w:bottom w:val="none" w:sz="0" w:space="0" w:color="auto"/>
        <w:right w:val="none" w:sz="0" w:space="0" w:color="auto"/>
      </w:divBdr>
    </w:div>
    <w:div w:id="1714771760">
      <w:bodyDiv w:val="1"/>
      <w:marLeft w:val="0"/>
      <w:marRight w:val="0"/>
      <w:marTop w:val="0"/>
      <w:marBottom w:val="0"/>
      <w:divBdr>
        <w:top w:val="none" w:sz="0" w:space="0" w:color="auto"/>
        <w:left w:val="none" w:sz="0" w:space="0" w:color="auto"/>
        <w:bottom w:val="none" w:sz="0" w:space="0" w:color="auto"/>
        <w:right w:val="none" w:sz="0" w:space="0" w:color="auto"/>
      </w:divBdr>
    </w:div>
    <w:div w:id="1772625774">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20218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Haag</dc:creator>
  <cp:lastModifiedBy>Carl Haag (Kelford)</cp:lastModifiedBy>
  <cp:revision>15</cp:revision>
  <dcterms:created xsi:type="dcterms:W3CDTF">2025-09-11T20:20:00Z</dcterms:created>
  <dcterms:modified xsi:type="dcterms:W3CDTF">2025-09-11T20:51:00Z</dcterms:modified>
</cp:coreProperties>
</file>